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0"/>
        <w:numPr>
          <w:ilvl w:val="0"/>
          <w:numId w:val="0"/>
        </w:numPr>
        <w:ind w:left="0" w:hanging="0"/>
        <w:jc w:val="left"/>
        <w:outlineLvl w:val="0"/>
        <w:rPr/>
      </w:pPr>
      <w:r>
        <w:rPr>
          <w:rFonts w:eastAsia="Arial" w:cs="Arial" w:ascii="Arial" w:hAnsi="Arial"/>
          <w:b/>
          <w:sz w:val="20"/>
        </w:rPr>
        <w:t xml:space="preserve">                                                       </w:t>
      </w:r>
      <w:r>
        <w:rPr>
          <w:rFonts w:cs="Arial" w:ascii="Arial" w:hAnsi="Arial"/>
          <w:b/>
          <w:sz w:val="20"/>
        </w:rPr>
        <w:t>Старополтавская сельская Дума</w:t>
      </w:r>
    </w:p>
    <w:p>
      <w:pPr>
        <w:pStyle w:val="Style10"/>
        <w:numPr>
          <w:ilvl w:val="0"/>
          <w:numId w:val="0"/>
        </w:numPr>
        <w:ind w:left="2160" w:hanging="180"/>
        <w:jc w:val="left"/>
        <w:outlineLvl w:val="0"/>
        <w:rPr/>
      </w:pPr>
      <w:r>
        <w:rPr>
          <w:rFonts w:eastAsia="Arial" w:cs="Arial" w:ascii="Arial" w:hAnsi="Arial"/>
          <w:b/>
          <w:sz w:val="20"/>
        </w:rPr>
        <w:t xml:space="preserve">         </w:t>
      </w:r>
      <w:r>
        <w:rPr>
          <w:rFonts w:cs="Arial" w:ascii="Arial" w:hAnsi="Arial"/>
          <w:b/>
          <w:sz w:val="20"/>
        </w:rPr>
        <w:t>Старополтавского муниципального района</w:t>
      </w:r>
    </w:p>
    <w:p>
      <w:pPr>
        <w:pStyle w:val="Style10"/>
        <w:numPr>
          <w:ilvl w:val="0"/>
          <w:numId w:val="0"/>
        </w:numPr>
        <w:ind w:left="3240" w:hanging="0"/>
        <w:jc w:val="left"/>
        <w:outlineLvl w:val="0"/>
        <w:rPr/>
      </w:pPr>
      <w:r>
        <w:rPr>
          <w:rFonts w:eastAsia="Arial" w:cs="Arial" w:ascii="Arial" w:hAnsi="Arial"/>
          <w:b/>
          <w:sz w:val="20"/>
        </w:rPr>
        <w:t xml:space="preserve">     </w:t>
      </w:r>
      <w:r>
        <w:rPr>
          <w:rFonts w:cs="Arial" w:ascii="Arial" w:hAnsi="Arial"/>
          <w:b/>
          <w:sz w:val="20"/>
        </w:rPr>
        <w:t>Волгоградской области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"/>
          <w:szCs w:val="20"/>
        </w:rPr>
        <w:t>(четвертого созыва)</w:t>
      </w:r>
    </w:p>
    <w:p>
      <w:pPr>
        <w:pStyle w:val="Normal"/>
        <w:pBdr>
          <w:bottom w:val="single" w:sz="12" w:space="1" w:color="000000"/>
        </w:pBdr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РЕШЕНИЕ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от « 23    »     декабря     2019 г.                                                                                                    № 30/1 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11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«О бюджете Старополтавского</w:t>
      </w:r>
    </w:p>
    <w:p>
      <w:pPr>
        <w:pStyle w:val="Style11"/>
        <w:rPr/>
      </w:pP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сельского поселения на 2020 год </w:t>
      </w:r>
    </w:p>
    <w:p>
      <w:pPr>
        <w:pStyle w:val="Style11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и на плановый период  2021 и 2022 годов» </w:t>
      </w:r>
    </w:p>
    <w:p>
      <w:pPr>
        <w:pStyle w:val="Style11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firstLine="567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</w:t>
      </w:r>
      <w:r>
        <w:rPr>
          <w:rFonts w:cs="Arial" w:ascii="Arial" w:hAnsi="Arial"/>
          <w:sz w:val="20"/>
          <w:szCs w:val="20"/>
        </w:rPr>
        <w:t xml:space="preserve">На основании ст.40 Устава Старополтавского сельского поселения  рассмотрев  проект Решения «О бюджете Старополтавского сельского поселения на 2020 год  и на плановый период 2021 и 2022 годов»,  Старополтавская  сельская  Дума     </w:t>
      </w:r>
      <w:r>
        <w:rPr>
          <w:rFonts w:cs="Arial" w:ascii="Arial" w:hAnsi="Arial"/>
          <w:b/>
          <w:sz w:val="20"/>
          <w:szCs w:val="20"/>
        </w:rPr>
        <w:t>р е ш и л а:</w:t>
      </w:r>
    </w:p>
    <w:p>
      <w:pPr>
        <w:pStyle w:val="Normal"/>
        <w:ind w:firstLine="567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Style11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1.Утвердить показатели бюджета  Старополтавского сельского поселения на 2020 год  и на плановый период  2021 и 2022 годов.</w:t>
      </w:r>
    </w:p>
    <w:p>
      <w:pPr>
        <w:pStyle w:val="Style11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9464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938"/>
      </w:tblGrid>
      <w:tr>
        <w:trPr/>
        <w:tc>
          <w:tcPr>
            <w:tcW w:w="1526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1.                            </w:t>
            </w:r>
          </w:p>
        </w:tc>
        <w:tc>
          <w:tcPr>
            <w:tcW w:w="7938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Основные характеристики  бюджета Старополтавского сельского поселения на 2020 год и на плановый период 2021 и 2022</w:t>
            </w:r>
            <w:r>
              <w:rPr>
                <w:rFonts w:cs="Arial" w:ascii="Arial" w:hAnsi="Arial"/>
                <w:sz w:val="20"/>
                <w:szCs w:val="20"/>
              </w:rPr>
              <w:t> </w:t>
            </w:r>
            <w:r>
              <w:rPr>
                <w:rFonts w:cs="Arial" w:ascii="Arial" w:hAnsi="Arial"/>
                <w:b/>
                <w:sz w:val="20"/>
                <w:szCs w:val="20"/>
              </w:rPr>
              <w:t>годов</w:t>
            </w:r>
          </w:p>
        </w:tc>
      </w:tr>
    </w:tbl>
    <w:p>
      <w:pPr>
        <w:pStyle w:val="ConsNormal"/>
        <w:jc w:val="both"/>
        <w:rPr>
          <w:b/>
          <w:b/>
          <w:color w:val="FF0000"/>
        </w:rPr>
      </w:pPr>
      <w:r>
        <w:rPr>
          <w:b/>
          <w:color w:val="FF0000"/>
        </w:rPr>
      </w:r>
    </w:p>
    <w:p>
      <w:pPr>
        <w:pStyle w:val="22"/>
        <w:widowControl w:val="false"/>
        <w:numPr>
          <w:ilvl w:val="0"/>
          <w:numId w:val="0"/>
        </w:numPr>
        <w:ind w:firstLine="708"/>
        <w:outlineLvl w:val="0"/>
        <w:rPr>
          <w:rFonts w:ascii="Arial" w:hAnsi="Arial" w:cs="Arial"/>
          <w:b/>
          <w:b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 xml:space="preserve">1. Утвердить основные характеристики  бюджета Старополтавского сельского поселения на 2020 год: </w:t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прогнозируемый общий объем доходов  бюджета в сумме 18523,3   тыс. рублей, в том числе:</w:t>
      </w:r>
    </w:p>
    <w:p>
      <w:pPr>
        <w:pStyle w:val="22"/>
        <w:widowControl w:val="false"/>
        <w:rPr/>
      </w:pPr>
      <w:r>
        <w:rPr>
          <w:rFonts w:cs="Arial" w:ascii="Arial" w:hAnsi="Arial"/>
          <w:bCs/>
          <w:color w:val="000000"/>
          <w:sz w:val="20"/>
          <w:szCs w:val="20"/>
        </w:rPr>
        <w:t>безвозмездные поступления из областного бюджета – 5220,9 тыс. рублей;</w:t>
      </w:r>
    </w:p>
    <w:p>
      <w:pPr>
        <w:pStyle w:val="22"/>
        <w:widowControl w:val="false"/>
        <w:rPr/>
      </w:pPr>
      <w:r>
        <w:rPr>
          <w:rFonts w:cs="Arial" w:ascii="Arial" w:hAnsi="Arial"/>
          <w:bCs/>
          <w:color w:val="000000"/>
          <w:sz w:val="20"/>
          <w:szCs w:val="20"/>
        </w:rPr>
        <w:t>общий объем расходов  бюджета  сельского поселения  в сумме 18523,3  тыс. рублей;</w:t>
      </w:r>
    </w:p>
    <w:p>
      <w:pPr>
        <w:pStyle w:val="ConsNormal"/>
        <w:numPr>
          <w:ilvl w:val="0"/>
          <w:numId w:val="0"/>
        </w:numPr>
        <w:ind w:firstLine="720"/>
        <w:jc w:val="both"/>
        <w:outlineLvl w:val="0"/>
        <w:rPr/>
      </w:pPr>
      <w:r>
        <w:rPr/>
        <w:t>2. Утвердить основные характеристики  бюджета Старополтавского сельского поселения на 2021 год и на 2022 год в следующих размерах:</w:t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прогнозируемый общий объем доходов  бюджета Старополтавского сельского поселения на 2021 год в сумме 19513,0  тыс. рублей.</w:t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прогнозируемый общий объем доходов  бюджета Старополтавского сельского поселения  на 2022 год в сумме  20547,6 тыс. рублей.</w:t>
      </w:r>
    </w:p>
    <w:p>
      <w:pPr>
        <w:pStyle w:val="22"/>
        <w:widowControl w:val="false"/>
        <w:rPr>
          <w:rFonts w:ascii="Arial" w:hAnsi="Arial" w:cs="Arial"/>
          <w:bCs/>
          <w:color w:val="0000FF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 xml:space="preserve">общий объем расходов  бюджета Старополтавского сельского поселения  на 2021 год в сумме 19513,0  тыс. рублей, и на 2022 год в сумме 20547,6 тыс. рублей, </w:t>
      </w:r>
    </w:p>
    <w:p>
      <w:pPr>
        <w:pStyle w:val="ConsNormal"/>
        <w:jc w:val="both"/>
        <w:rPr>
          <w:rFonts w:ascii="Arial" w:hAnsi="Arial" w:cs="Arial"/>
          <w:bCs/>
          <w:color w:val="0000FF"/>
          <w:sz w:val="20"/>
          <w:szCs w:val="20"/>
        </w:rPr>
      </w:pPr>
      <w:r>
        <w:rPr>
          <w:rFonts w:cs="Arial"/>
          <w:bCs/>
          <w:color w:val="0000FF"/>
          <w:sz w:val="20"/>
          <w:szCs w:val="20"/>
        </w:rPr>
      </w:r>
    </w:p>
    <w:p>
      <w:pPr>
        <w:pStyle w:val="ConsNormal"/>
        <w:jc w:val="both"/>
        <w:rPr/>
      </w:pPr>
      <w:r>
        <w:rPr/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479"/>
      </w:tblGrid>
      <w:tr>
        <w:trPr/>
        <w:tc>
          <w:tcPr>
            <w:tcW w:w="18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2.                    </w:t>
            </w:r>
          </w:p>
        </w:tc>
        <w:tc>
          <w:tcPr>
            <w:tcW w:w="747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Главные администраторы доходов и главные администраторы источников финансирования дефицита бюджета Старополтавского сельского поселения</w:t>
            </w:r>
          </w:p>
        </w:tc>
      </w:tr>
    </w:tbl>
    <w:p>
      <w:pPr>
        <w:pStyle w:val="ConsNormal"/>
        <w:jc w:val="both"/>
        <w:rPr>
          <w:b/>
          <w:b/>
        </w:rPr>
      </w:pPr>
      <w:r>
        <w:rPr>
          <w:b/>
        </w:rPr>
      </w:r>
    </w:p>
    <w:p>
      <w:pPr>
        <w:pStyle w:val="22"/>
        <w:widowControl w:val="false"/>
        <w:rPr/>
      </w:pPr>
      <w:r>
        <w:rPr>
          <w:rFonts w:cs="Arial" w:ascii="Arial" w:hAnsi="Arial"/>
          <w:bCs/>
          <w:color w:val="000000"/>
          <w:sz w:val="20"/>
          <w:szCs w:val="20"/>
        </w:rPr>
        <w:t>1. Утвердить перечень главных администраторов доходов  бюджета Старополтавского сельского поселения согласно приложению 1 к настоящему Решению;</w:t>
      </w:r>
    </w:p>
    <w:p>
      <w:pPr>
        <w:pStyle w:val="22"/>
        <w:widowControl w:val="false"/>
        <w:rPr/>
      </w:pPr>
      <w:r>
        <w:rPr>
          <w:rFonts w:cs="Arial" w:ascii="Arial" w:hAnsi="Arial"/>
          <w:bCs/>
          <w:color w:val="000000"/>
          <w:sz w:val="20"/>
          <w:szCs w:val="20"/>
        </w:rPr>
        <w:t>2. Утвердить перечень главных администраторов источников финансирования  дефицита  бюджета Старополтавского сельского поселения согласно приложению 2 к настоящему Решению.</w:t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3. Администрация Старополтавского сельского поселения в случае изменения в 2020 году состава и (или) функций главных администраторов доходов бюджета Старополтавского сельского поселения или главных администраторов источников финансирования дефицита  бюджета Старополтавского сельского поселения вправе вносить соответствующие изменения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Российской Федерации с последующим внесением изменений в настоящее Решение.</w:t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</w:r>
    </w:p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479"/>
      </w:tblGrid>
      <w:tr>
        <w:trPr/>
        <w:tc>
          <w:tcPr>
            <w:tcW w:w="18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/>
            </w:pPr>
            <w:r>
              <w:rPr>
                <w:rFonts w:eastAsia="Arial" w:cs="Arial" w:ascii="Arial" w:hAnsi="Arial"/>
                <w:color w:val="0000FF"/>
                <w:sz w:val="20"/>
                <w:szCs w:val="20"/>
              </w:rPr>
              <w:t xml:space="preserve">  </w:t>
            </w:r>
            <w:r>
              <w:rPr>
                <w:rFonts w:cs="Arial" w:ascii="Arial" w:hAnsi="Arial"/>
                <w:sz w:val="20"/>
                <w:szCs w:val="20"/>
              </w:rPr>
              <w:t xml:space="preserve">3.                </w:t>
            </w:r>
          </w:p>
        </w:tc>
        <w:tc>
          <w:tcPr>
            <w:tcW w:w="747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Особенности администрирования доходов Старополтавского сельского поселения бюджета в 2020 году </w:t>
            </w:r>
          </w:p>
        </w:tc>
      </w:tr>
    </w:tbl>
    <w:p>
      <w:pPr>
        <w:pStyle w:val="22"/>
        <w:widowControl w:val="fals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</w:r>
    </w:p>
    <w:p>
      <w:pPr>
        <w:pStyle w:val="22"/>
        <w:widowControl w:val="false"/>
        <w:rPr/>
      </w:pPr>
      <w:r>
        <w:rPr>
          <w:rFonts w:cs="Arial" w:ascii="Arial" w:hAnsi="Arial"/>
          <w:bCs/>
          <w:color w:val="000000"/>
          <w:sz w:val="20"/>
          <w:szCs w:val="20"/>
        </w:rPr>
        <w:t xml:space="preserve">В случаях, установленных законодательством Российской Федерации, органы государственной власти, не являющиеся органами государственной власти Волгоградской области, а также находящиеся в их ведении бюджетные учреждения, органы местного самоуправления, а также находящиеся в их ведении бюджетные учреждения осуществляют начисление, учет и контроль за правильностью исчисления, полнотой уплаты платежей по отдельным видам доходов, подлежащих зачислению в  бюджет _Старополтавского сельского поселения, включая пени и штрафы по ним, а также осуществляют взыскание задолженности и принимают решения о возврате (зачете) указанных платежей в порядке, установленном для осуществления соответствующих полномочий администраторами доходов  бюджета поселения.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    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            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</w:t>
      </w:r>
      <w:r>
        <w:rPr>
          <w:rFonts w:cs="Arial" w:ascii="Arial" w:hAnsi="Arial"/>
          <w:b/>
          <w:sz w:val="20"/>
          <w:szCs w:val="20"/>
        </w:rPr>
        <w:t>4.</w:t>
      </w:r>
      <w:r>
        <w:rPr>
          <w:rFonts w:cs="Arial" w:ascii="Arial" w:hAnsi="Arial"/>
          <w:sz w:val="20"/>
          <w:szCs w:val="20"/>
        </w:rPr>
        <w:t xml:space="preserve">        </w:t>
      </w:r>
      <w:r>
        <w:rPr>
          <w:rFonts w:cs="Arial" w:ascii="Arial" w:hAnsi="Arial"/>
          <w:b/>
          <w:sz w:val="20"/>
          <w:szCs w:val="20"/>
        </w:rPr>
        <w:t>Поступления доходов в бюджет Старополтавского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                        </w:t>
      </w:r>
      <w:r>
        <w:rPr>
          <w:rFonts w:cs="Arial" w:ascii="Arial" w:hAnsi="Arial"/>
          <w:b/>
          <w:sz w:val="20"/>
          <w:szCs w:val="20"/>
        </w:rPr>
        <w:t xml:space="preserve">сельского поселения на 2020год и плановый период 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                         </w:t>
      </w:r>
      <w:r>
        <w:rPr>
          <w:rFonts w:cs="Arial" w:ascii="Arial" w:hAnsi="Arial"/>
          <w:b/>
          <w:sz w:val="20"/>
          <w:szCs w:val="20"/>
        </w:rPr>
        <w:t>2020 – 2021 год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                          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 </w:t>
      </w:r>
      <w:r>
        <w:rPr>
          <w:rFonts w:cs="Arial" w:ascii="Arial" w:hAnsi="Arial"/>
          <w:sz w:val="20"/>
          <w:szCs w:val="20"/>
        </w:rPr>
        <w:t>Учесть в бюджете Старополтавского сельского поселения поступления доходов в 2020 году – согласно приложению 3 к настоящему Решению, в 2021-2022 годах – согласно приложению 4 к настоящему Решению.</w:t>
      </w:r>
    </w:p>
    <w:p>
      <w:pPr>
        <w:pStyle w:val="ConsNormal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ConsNormal"/>
        <w:jc w:val="both"/>
        <w:rPr/>
      </w:pPr>
      <w:r>
        <w:rPr/>
      </w:r>
    </w:p>
    <w:p>
      <w:pPr>
        <w:pStyle w:val="Normal"/>
        <w:ind w:firstLine="708"/>
        <w:jc w:val="both"/>
        <w:rPr>
          <w:rFonts w:ascii="Arial" w:hAnsi="Arial" w:cs="Arial"/>
          <w:b/>
          <w:b/>
          <w:color w:val="FF0000"/>
          <w:sz w:val="20"/>
          <w:szCs w:val="20"/>
        </w:rPr>
      </w:pPr>
      <w:r>
        <w:rPr>
          <w:rFonts w:cs="Arial" w:ascii="Arial" w:hAnsi="Arial"/>
          <w:b/>
          <w:color w:val="FF0000"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7195"/>
      </w:tblGrid>
      <w:tr>
        <w:trPr/>
        <w:tc>
          <w:tcPr>
            <w:tcW w:w="2093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/>
            </w:pPr>
            <w:r>
              <w:rPr>
                <w:rFonts w:eastAsia="Arial" w:cs="Arial" w:ascii="Arial" w:hAnsi="Arial"/>
                <w:color w:val="0000FF"/>
                <w:sz w:val="20"/>
                <w:szCs w:val="20"/>
              </w:rPr>
              <w:t xml:space="preserve">          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color w:val="0000FF"/>
                <w:sz w:val="20"/>
                <w:szCs w:val="20"/>
              </w:rPr>
              <w:t>.</w:t>
            </w:r>
          </w:p>
        </w:tc>
        <w:tc>
          <w:tcPr>
            <w:tcW w:w="7195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Особенности использования средств, получаемых бюджетными учреждениями Старополтавского  сельского поселения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color w:val="FF0000"/>
          <w:sz w:val="20"/>
          <w:szCs w:val="20"/>
        </w:rPr>
      </w:pPr>
      <w:r>
        <w:rPr>
          <w:rFonts w:cs="Arial" w:ascii="Arial" w:hAnsi="Arial"/>
          <w:b/>
          <w:color w:val="FF0000"/>
          <w:sz w:val="20"/>
          <w:szCs w:val="20"/>
        </w:rPr>
      </w:r>
    </w:p>
    <w:p>
      <w:pPr>
        <w:pStyle w:val="Normal"/>
        <w:ind w:firstLine="720"/>
        <w:jc w:val="both"/>
        <w:rPr/>
      </w:pPr>
      <w:r>
        <w:rPr>
          <w:rFonts w:cs="Arial" w:ascii="Arial" w:hAnsi="Arial"/>
          <w:sz w:val="20"/>
          <w:szCs w:val="20"/>
        </w:rPr>
        <w:t>Средства, полученные бюджетными учреждениями Старополтавского сельского поселения от оказания платных услуг, от иной приносящей доход деятельности, безвозмездные поступления от физических и юридических лиц, в том числе добровольные пожертвования, в полном объеме поступают в бюджет Старополтавского сельского поселения.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</w:t>
      </w:r>
    </w:p>
    <w:p>
      <w:pPr>
        <w:pStyle w:val="Cons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7337"/>
      </w:tblGrid>
      <w:tr>
        <w:trPr/>
        <w:tc>
          <w:tcPr>
            <w:tcW w:w="195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</w:t>
            </w:r>
            <w:r>
              <w:rPr>
                <w:rFonts w:cs="Arial" w:ascii="Arial" w:hAnsi="Arial"/>
                <w:sz w:val="20"/>
                <w:szCs w:val="20"/>
              </w:rPr>
              <w:t>6.</w:t>
            </w:r>
          </w:p>
        </w:tc>
        <w:tc>
          <w:tcPr>
            <w:tcW w:w="7337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Бюджетные ассигнования бюджета Старополтавского сельского поселения на 2020 год и на плановый период 2021 и 2022 годов</w:t>
            </w:r>
          </w:p>
        </w:tc>
      </w:tr>
    </w:tbl>
    <w:p>
      <w:pPr>
        <w:pStyle w:val="ConsNormal"/>
        <w:ind w:hanging="0"/>
        <w:jc w:val="both"/>
        <w:rPr/>
      </w:pPr>
      <w:r>
        <w:rPr>
          <w:rFonts w:eastAsia="Arial"/>
        </w:rPr>
        <w:t xml:space="preserve">         </w:t>
      </w:r>
      <w:r>
        <w:rPr/>
        <w:t xml:space="preserve">1. Утвердить главным распорядителям средств бюджета Старополтавского сельского поселения администрацию Старополтавского сельского поселения. </w:t>
      </w:r>
    </w:p>
    <w:p>
      <w:pPr>
        <w:pStyle w:val="ConsNormal"/>
        <w:ind w:hanging="0"/>
        <w:jc w:val="both"/>
        <w:rPr/>
      </w:pPr>
      <w:r>
        <w:rPr>
          <w:rFonts w:eastAsia="Arial"/>
        </w:rPr>
        <w:t xml:space="preserve">                                                                                                                                                             </w:t>
      </w:r>
      <w:r>
        <w:rPr/>
        <w:t>.    2. Утвердить в пределах общего объема расходов, установленного пунктом 1 настоящего Решения, распределение бюджетных ассигнований по разделам и подразделам, целевым статьям и видам расходов классификации расходов бюджета  сельского поселения на 2020 год и на плановый период 2021 и 2022 годов согласно приложению 5 к настоящему Решению.</w:t>
      </w:r>
    </w:p>
    <w:p>
      <w:pPr>
        <w:pStyle w:val="ConsNormal"/>
        <w:ind w:hanging="0"/>
        <w:jc w:val="both"/>
        <w:rPr/>
      </w:pPr>
      <w:r>
        <w:rPr>
          <w:rFonts w:eastAsia="Arial"/>
        </w:rPr>
        <w:t xml:space="preserve">  </w:t>
      </w:r>
      <w:r>
        <w:rPr/>
        <w:t>3. Утвердить ведомственную структуру расходов бюджета Старополтавского сельского поселения:</w:t>
      </w:r>
    </w:p>
    <w:p>
      <w:pPr>
        <w:pStyle w:val="ConsNormal"/>
        <w:jc w:val="both"/>
        <w:rPr/>
      </w:pPr>
      <w:r>
        <w:rPr/>
        <w:t>на 2020 год согласно приложению 6 к настоящему Решению;</w:t>
      </w:r>
    </w:p>
    <w:p>
      <w:pPr>
        <w:pStyle w:val="ConsNormal"/>
        <w:jc w:val="both"/>
        <w:rPr/>
      </w:pPr>
      <w:r>
        <w:rPr/>
        <w:t>на плановый период 2021 и 2022 годов – согласно приложению 7 к настоящему Решению.</w:t>
      </w:r>
    </w:p>
    <w:p>
      <w:pPr>
        <w:pStyle w:val="Normal"/>
        <w:widowControl w:val="false"/>
        <w:numPr>
          <w:ilvl w:val="0"/>
          <w:numId w:val="0"/>
        </w:numPr>
        <w:autoSpaceDE w:val="false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</w:t>
      </w:r>
      <w:r>
        <w:rPr>
          <w:rFonts w:cs="Arial" w:ascii="Arial" w:hAnsi="Arial"/>
          <w:sz w:val="20"/>
          <w:szCs w:val="20"/>
        </w:rPr>
        <w:t xml:space="preserve">7.                </w:t>
      </w:r>
      <w:r>
        <w:rPr>
          <w:rFonts w:cs="Arial" w:ascii="Arial" w:hAnsi="Arial"/>
          <w:b/>
          <w:sz w:val="20"/>
          <w:szCs w:val="20"/>
        </w:rPr>
        <w:t>Использование средств дорожного фонда</w:t>
      </w:r>
    </w:p>
    <w:p>
      <w:pPr>
        <w:pStyle w:val="Normal"/>
        <w:widowControl w:val="false"/>
        <w:autoSpaceDE w:val="false"/>
        <w:ind w:firstLine="540"/>
        <w:jc w:val="both"/>
        <w:rPr/>
      </w:pPr>
      <w:r>
        <w:rPr>
          <w:rFonts w:cs="Arial" w:ascii="Arial" w:hAnsi="Arial"/>
          <w:sz w:val="20"/>
          <w:szCs w:val="20"/>
        </w:rPr>
        <w:t>Утвердить смету доходов и расходов дорожного фонда  согласно приложению  9 к настоящему  решению на очередной финансовый год и плановый период в пределах общего объема ассигнований дорожного фонда.</w:t>
      </w:r>
    </w:p>
    <w:p>
      <w:pPr>
        <w:pStyle w:val="ConsNormal"/>
        <w:jc w:val="both"/>
        <w:rPr>
          <w:rFonts w:ascii="Arial" w:hAnsi="Arial" w:cs="Arial"/>
          <w:b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479"/>
      </w:tblGrid>
      <w:tr>
        <w:trPr/>
        <w:tc>
          <w:tcPr>
            <w:tcW w:w="18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 xml:space="preserve">8.                   </w:t>
            </w:r>
          </w:p>
        </w:tc>
        <w:tc>
          <w:tcPr>
            <w:tcW w:w="747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Особенности использования бюджетных ассигнований по обеспечению деятельности органов муниципальной власти, учреждений бюджетной сферы Старополтавского сельского поселения</w:t>
            </w:r>
          </w:p>
        </w:tc>
      </w:tr>
    </w:tbl>
    <w:p>
      <w:pPr>
        <w:pStyle w:val="ConsNormal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ind w:firstLine="720"/>
        <w:jc w:val="both"/>
        <w:rPr/>
      </w:pPr>
      <w:r>
        <w:rPr>
          <w:rFonts w:cs="Arial" w:ascii="Arial" w:hAnsi="Arial"/>
          <w:sz w:val="20"/>
          <w:szCs w:val="20"/>
        </w:rPr>
        <w:t>1. Глава Администрации Старополтавского сельского поселения не вправе принимать решения, приводящие к увеличению в 2019 году численности муниципальных служащих и работников учреждений бюджетной сферы.</w:t>
      </w:r>
    </w:p>
    <w:p>
      <w:pPr>
        <w:pStyle w:val="ConsNormal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cs="Arial"/>
          <w:color w:val="FF0000"/>
          <w:sz w:val="20"/>
          <w:szCs w:val="20"/>
        </w:rPr>
      </w:r>
    </w:p>
    <w:tbl>
      <w:tblPr>
        <w:tblW w:w="928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479"/>
      </w:tblGrid>
      <w:tr>
        <w:trPr/>
        <w:tc>
          <w:tcPr>
            <w:tcW w:w="180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ind w:firstLine="709"/>
              <w:jc w:val="both"/>
              <w:outlineLvl w:val="1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</w:t>
            </w:r>
            <w:r>
              <w:rPr>
                <w:rFonts w:cs="Arial" w:ascii="Arial" w:hAnsi="Arial"/>
                <w:sz w:val="20"/>
                <w:szCs w:val="20"/>
              </w:rPr>
              <w:t>9.</w:t>
            </w:r>
          </w:p>
        </w:tc>
        <w:tc>
          <w:tcPr>
            <w:tcW w:w="747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60"/>
              <w:jc w:val="both"/>
              <w:outlineLvl w:val="1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Предельная штатная численность муниципальных служащих Администрации Старополтавского сельского поселения</w:t>
            </w:r>
          </w:p>
        </w:tc>
      </w:tr>
    </w:tbl>
    <w:p>
      <w:pPr>
        <w:pStyle w:val="ConsNormal"/>
        <w:jc w:val="both"/>
        <w:rPr/>
      </w:pPr>
      <w:r>
        <w:rPr/>
      </w:r>
    </w:p>
    <w:p>
      <w:pPr>
        <w:pStyle w:val="ConsNormal"/>
        <w:jc w:val="both"/>
        <w:rPr/>
      </w:pPr>
      <w:r>
        <w:rPr/>
        <w:t>Утвердить предельную штатную численность муниципальных служащих Администрации Старополтавского сельского поселения, содержание которых осуществляется за счет средств бюджета поселения, на 2020 год согласно приложению 8 к настоящему Решению.</w:t>
      </w:r>
    </w:p>
    <w:p>
      <w:pPr>
        <w:pStyle w:val="ConsNormal"/>
        <w:jc w:val="both"/>
        <w:rPr>
          <w:color w:val="FF0000"/>
        </w:rPr>
      </w:pPr>
      <w:r>
        <w:rPr>
          <w:rFonts w:eastAsia="Arial"/>
          <w:color w:val="FF0000"/>
        </w:rPr>
        <w:t xml:space="preserve">  </w:t>
      </w:r>
    </w:p>
    <w:p>
      <w:pPr>
        <w:pStyle w:val="ConsNormal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autoSpaceDE w:val="false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cs="Arial" w:ascii="Arial" w:hAnsi="Arial"/>
          <w:color w:val="FF0000"/>
          <w:sz w:val="20"/>
          <w:szCs w:val="20"/>
        </w:rPr>
      </w:r>
    </w:p>
    <w:tbl>
      <w:tblPr>
        <w:tblW w:w="14806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8"/>
        <w:gridCol w:w="1188"/>
      </w:tblGrid>
      <w:tr>
        <w:trPr/>
        <w:tc>
          <w:tcPr>
            <w:tcW w:w="13618" w:type="dxa"/>
            <w:tcBorders/>
            <w:shd w:fill="auto" w:val="clear"/>
          </w:tcPr>
          <w:p>
            <w:pPr>
              <w:pStyle w:val="ConsNormal"/>
              <w:ind w:hanging="0"/>
              <w:jc w:val="both"/>
              <w:rPr>
                <w:b/>
                <w:b/>
              </w:rPr>
            </w:pPr>
            <w:r>
              <w:rPr>
                <w:b/>
              </w:rPr>
              <w:t>Глава сельского поселения</w:t>
            </w:r>
          </w:p>
          <w:tbl>
            <w:tblPr>
              <w:tblW w:w="11510" w:type="dxa"/>
              <w:jc w:val="left"/>
              <w:tblInd w:w="0" w:type="dxa"/>
              <w:tblCellMar>
                <w:top w:w="0" w:type="dxa"/>
                <w:left w:w="30" w:type="dxa"/>
                <w:bottom w:w="0" w:type="dxa"/>
                <w:right w:w="30" w:type="dxa"/>
              </w:tblCellMar>
            </w:tblPr>
            <w:tblGrid>
              <w:gridCol w:w="888"/>
              <w:gridCol w:w="653"/>
              <w:gridCol w:w="1857"/>
              <w:gridCol w:w="888"/>
              <w:gridCol w:w="888"/>
              <w:gridCol w:w="888"/>
              <w:gridCol w:w="888"/>
              <w:gridCol w:w="996"/>
              <w:gridCol w:w="888"/>
              <w:gridCol w:w="900"/>
              <w:gridCol w:w="888"/>
              <w:gridCol w:w="888"/>
            </w:tblGrid>
            <w:tr>
              <w:trPr>
                <w:trHeight w:val="250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84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FF0000"/>
                      <w:sz w:val="20"/>
                      <w:szCs w:val="20"/>
                    </w:rPr>
                    <w:t xml:space="preserve">Приложение 3 </w:t>
                  </w:r>
                </w:p>
              </w:tc>
              <w:tc>
                <w:tcPr>
                  <w:tcW w:w="90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FF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12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3672" w:type="dxa"/>
                  <w:gridSpan w:val="4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к решению сельской Думы</w:t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3672" w:type="dxa"/>
                  <w:gridSpan w:val="4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№</w:t>
                  </w:r>
                  <w:r>
                    <w:rPr>
                      <w:rFonts w:eastAsia="Arial" w:cs="Arial" w:ascii="Arial" w:hAnsi="Arial"/>
                      <w:color w:val="000000"/>
                      <w:sz w:val="20"/>
                      <w:szCs w:val="20"/>
                    </w:rPr>
                    <w:t xml:space="preserve">             </w:t>
                  </w: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от                                 г.</w:t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10622" w:type="dxa"/>
                  <w:gridSpan w:val="11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Arial"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</w:t>
                  </w: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Поступления доходов в  бюджет Старополтавского сельского поселения в 2020 году</w:t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788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(тыс.рублей)</w:t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562" w:hRule="atLeast"/>
              </w:trPr>
              <w:tc>
                <w:tcPr>
                  <w:tcW w:w="3398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1776" w:type="dxa"/>
                  <w:gridSpan w:val="2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Сумма</w:t>
                  </w:r>
                </w:p>
              </w:tc>
              <w:tc>
                <w:tcPr>
                  <w:tcW w:w="90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99" w:hRule="atLeast"/>
              </w:trPr>
              <w:tc>
                <w:tcPr>
                  <w:tcW w:w="8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000 1 00 00000 00 0000 000</w:t>
                  </w:r>
                </w:p>
              </w:tc>
              <w:tc>
                <w:tcPr>
                  <w:tcW w:w="1776" w:type="dxa"/>
                  <w:gridSpan w:val="2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ДОХОДЫ</w:t>
                  </w:r>
                </w:p>
              </w:tc>
              <w:tc>
                <w:tcPr>
                  <w:tcW w:w="888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13302,4</w:t>
                  </w:r>
                </w:p>
              </w:tc>
              <w:tc>
                <w:tcPr>
                  <w:tcW w:w="900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888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66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Налоговые доходы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12792,0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000 1 01 00000 00 0000 000</w:t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прибыль, доходы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9300,0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88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000 1 01 02000 01 0000 110</w:t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9300,0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88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000 1 05 00000 00 0000 000</w:t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совокупный доход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24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000 1 05 03000 01 0000 110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000 1 06 00000 00 0000 000</w:t>
                  </w:r>
                </w:p>
              </w:tc>
              <w:tc>
                <w:tcPr>
                  <w:tcW w:w="266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имущество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2300,0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986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000 1 06 01030 10 0000 110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Налог на имущество физических лиц,взимаемый по ставкам применяемым к объект. налогооблож.,расположенным в границах поселений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000 1 06 06000 00 0000 110</w:t>
                  </w:r>
                </w:p>
              </w:tc>
              <w:tc>
                <w:tcPr>
                  <w:tcW w:w="266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Земельный налог, в т.ч.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2000,0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123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000 1 06 06013 10 0000 110</w:t>
                  </w:r>
                </w:p>
              </w:tc>
              <w:tc>
                <w:tcPr>
                  <w:tcW w:w="8112" w:type="dxa"/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Земельный налог,взимаемый по ставкам,устан.в соответ. с под.1п.1 ст.394 налог.код.РФ и примен.к объект.налогооблож.располож.в гран.поселений</w:t>
                  </w:r>
                </w:p>
              </w:tc>
            </w:tr>
            <w:tr>
              <w:trPr>
                <w:trHeight w:val="434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000 1 03 02200 01 0000 110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уплаты акцизов на бензин,масла и д.т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1142,0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888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66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Неналоговые доходы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510,4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787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000 1 11 00000 00 0000 000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10,4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000 1 11 05013 10 0000 120</w:t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сдачи в аренду  земли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000 1 11 05045 10 0000 120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сдачи в аренду  имущества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10,4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50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000 1 11 05035 05 0000 120</w:t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продажи   земли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22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000 1 13 01995 10 0000 130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прочие доходы от оказания платных услуг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61" w:hRule="atLeast"/>
              </w:trPr>
              <w:tc>
                <w:tcPr>
                  <w:tcW w:w="8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Arial"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65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БЕЗВОЗМЕЗДНЫЕ ПОСТУПЛЕНИЯ</w:t>
                  </w:r>
                </w:p>
              </w:tc>
              <w:tc>
                <w:tcPr>
                  <w:tcW w:w="99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5220,9</w:t>
                  </w:r>
                </w:p>
              </w:tc>
              <w:tc>
                <w:tcPr>
                  <w:tcW w:w="90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61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000 20215002 10 0000 150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Дотации на выравнивание уровня бюджетной обеспеченности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4916,0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62" w:hRule="atLeast"/>
              </w:trPr>
              <w:tc>
                <w:tcPr>
                  <w:tcW w:w="888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355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Субсидии на сбалансированность</w:t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672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000 2024001410 0000 150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Межбюджетныетрансферты,передаваемые бюджетам сельских поселений из бюджетов муниципальных районов на оссуществление части полномочий по решению вопросов местного значения в соотвесмтвии с заключенными соглашениями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34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000 2 02 03015 10 0000 151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253,0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74" w:hRule="atLeast"/>
              </w:trPr>
              <w:tc>
                <w:tcPr>
                  <w:tcW w:w="3398" w:type="dxa"/>
                  <w:gridSpan w:val="3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000 2 02 04999 10 0000 151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Прочие межбюджетные трансферты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74" w:hRule="atLeast"/>
              </w:trPr>
              <w:tc>
                <w:tcPr>
                  <w:tcW w:w="888" w:type="dxa"/>
                  <w:tcBorders>
                    <w:top w:val="single" w:sz="6" w:space="0" w:color="000000"/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776" w:type="dxa"/>
                  <w:gridSpan w:val="2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749" w:hRule="atLeast"/>
              </w:trPr>
              <w:tc>
                <w:tcPr>
                  <w:tcW w:w="3398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000 2 02 04999 10 0000 151</w:t>
                  </w:r>
                </w:p>
              </w:tc>
              <w:tc>
                <w:tcPr>
                  <w:tcW w:w="4548" w:type="dxa"/>
                  <w:gridSpan w:val="5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</w:rPr>
                    <w:t>Субвенции бюджетам поселений на осуществление функций административных комиссий</w:t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900" w:type="dxa"/>
                  <w:tcBorders>
                    <w:top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i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i/>
                      <w:i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24" w:hRule="atLeast"/>
              </w:trPr>
              <w:tc>
                <w:tcPr>
                  <w:tcW w:w="8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65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5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776" w:type="dxa"/>
                  <w:gridSpan w:val="2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Итого доходов</w:t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9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18523,3</w:t>
                  </w:r>
                </w:p>
              </w:tc>
              <w:tc>
                <w:tcPr>
                  <w:tcW w:w="90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88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</w:tbl>
          <w:p>
            <w:pPr>
              <w:pStyle w:val="Normal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cs="Arial" w:ascii="Arial" w:hAnsi="Arial"/>
                <w:sz w:val="20"/>
                <w:szCs w:val="20"/>
                <w:lang w:eastAsia="en-US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cs="Arial" w:ascii="Arial" w:hAnsi="Arial"/>
                <w:sz w:val="20"/>
                <w:szCs w:val="20"/>
                <w:lang w:eastAsia="en-US"/>
              </w:rPr>
            </w:r>
          </w:p>
          <w:tbl>
            <w:tblPr>
              <w:tblW w:w="13419" w:type="dxa"/>
              <w:jc w:val="left"/>
              <w:tblInd w:w="0" w:type="dxa"/>
              <w:tblCellMar>
                <w:top w:w="0" w:type="dxa"/>
                <w:left w:w="30" w:type="dxa"/>
                <w:bottom w:w="0" w:type="dxa"/>
                <w:right w:w="30" w:type="dxa"/>
              </w:tblCellMar>
            </w:tblPr>
            <w:tblGrid>
              <w:gridCol w:w="7395"/>
              <w:gridCol w:w="66"/>
              <w:gridCol w:w="17"/>
              <w:gridCol w:w="49"/>
              <w:gridCol w:w="17"/>
              <w:gridCol w:w="17"/>
              <w:gridCol w:w="1297"/>
              <w:gridCol w:w="960"/>
              <w:gridCol w:w="907"/>
              <w:gridCol w:w="951"/>
              <w:gridCol w:w="877"/>
              <w:gridCol w:w="783"/>
              <w:gridCol w:w="66"/>
              <w:gridCol w:w="17"/>
            </w:tblGrid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8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FF0000"/>
                      <w:sz w:val="20"/>
                      <w:szCs w:val="20"/>
                    </w:rPr>
                    <w:t>Приложение 4</w:t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FF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62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611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к решению сельской Думы</w:t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611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№</w:t>
                  </w:r>
                  <w:r>
                    <w:rPr>
                      <w:rFonts w:eastAsia="Arial" w:cs="Arial" w:ascii="Arial" w:hAnsi="Arial"/>
                      <w:color w:val="000000"/>
                      <w:sz w:val="20"/>
                      <w:szCs w:val="20"/>
                    </w:rPr>
                    <w:t xml:space="preserve">               </w:t>
                  </w: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от                             г.</w:t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13402" w:type="dxa"/>
                  <w:gridSpan w:val="1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Поступления доходов в  бюджет Старополтавского сельского поселения в 2021-2022 годах</w:t>
                  </w:r>
                </w:p>
              </w:tc>
            </w:tr>
            <w:tr>
              <w:trPr>
                <w:trHeight w:val="305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660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(тыс.рублей)</w:t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05" w:hRule="atLeast"/>
              </w:trPr>
              <w:tc>
                <w:tcPr>
                  <w:tcW w:w="8858" w:type="dxa"/>
                  <w:gridSpan w:val="7"/>
                  <w:tcBorders>
                    <w:top w:val="single" w:sz="12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96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Сумма</w:t>
                  </w:r>
                </w:p>
              </w:tc>
              <w:tc>
                <w:tcPr>
                  <w:tcW w:w="783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7395" w:type="dxa"/>
                  <w:tcBorders>
                    <w:top w:val="single" w:sz="6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2021 г.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2022 г.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30" w:hRule="atLeast"/>
              </w:trPr>
              <w:tc>
                <w:tcPr>
                  <w:tcW w:w="739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000 1 00 00000 00 0000 000</w:t>
                  </w:r>
                </w:p>
              </w:tc>
              <w:tc>
                <w:tcPr>
                  <w:tcW w:w="1331" w:type="dxa"/>
                  <w:gridSpan w:val="3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ДОХОДЫ</w:t>
                  </w:r>
                </w:p>
              </w:tc>
              <w:tc>
                <w:tcPr>
                  <w:tcW w:w="960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14330,5</w:t>
                  </w:r>
                </w:p>
              </w:tc>
              <w:tc>
                <w:tcPr>
                  <w:tcW w:w="783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15356,9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5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Налоговые доходы</w:t>
                  </w:r>
                </w:p>
              </w:tc>
              <w:tc>
                <w:tcPr>
                  <w:tcW w:w="9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14320,5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15346,9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000 1 01 00000 00 0000 000</w:t>
                  </w:r>
                </w:p>
              </w:tc>
              <w:tc>
                <w:tcPr>
                  <w:tcW w:w="3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прибыль, доходы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9930,0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10330,0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000 1 01 02000 01 0000 110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9930,0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10330,0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000 1 05 00000 00 0000 000</w:t>
                  </w:r>
                </w:p>
              </w:tc>
              <w:tc>
                <w:tcPr>
                  <w:tcW w:w="3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совокупный доход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000 1 05 03000 01 0000 110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000 1 06 00000 00 0000 000</w:t>
                  </w:r>
                </w:p>
              </w:tc>
              <w:tc>
                <w:tcPr>
                  <w:tcW w:w="3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Налоги на имущество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2900,0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2900,0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000 1 06 01030 10 0000 110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Налог на имущество физических лиц,взимаемый по ставкам применяемым к объект. налогооблож.,расположенным в границах поселений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000 1 06 06000 00 0000 110</w:t>
                  </w:r>
                </w:p>
              </w:tc>
              <w:tc>
                <w:tcPr>
                  <w:tcW w:w="3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Земельный налог, в т.ч.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2200,0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2200,0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452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000 1 06 06013 10 0000 110</w:t>
                  </w:r>
                </w:p>
              </w:tc>
              <w:tc>
                <w:tcPr>
                  <w:tcW w:w="5875" w:type="dxa"/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Земельный налог,взимаемый по ставкам,устан.в соответ. с под.1п.1 ст.394 налог.код.РФ и примен.к объект.налогооблож.располож.в гран.поселений</w:t>
                  </w:r>
                </w:p>
              </w:tc>
            </w:tr>
            <w:tr>
              <w:trPr>
                <w:trHeight w:val="478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000 1 03 02200 01 0000 110</w:t>
                  </w:r>
                </w:p>
              </w:tc>
              <w:tc>
                <w:tcPr>
                  <w:tcW w:w="3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доходы от уплаты акцизов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1440,5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2066,9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316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Неналоговые доходы</w:t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Arial"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10,0   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162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000 1 11 00000 00 0000 000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Arial"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10,0   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000 1 11 05000 00 0000 120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сдачи в аренду  земли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000 1 11 05045 10 0000 120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доходы от сдачи в аренду  имущества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Arial" w:cs="Arial" w:ascii="Arial" w:hAnsi="Arial"/>
                      <w:color w:val="000000"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10,0   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3" w:hRule="atLeast"/>
              </w:trPr>
              <w:tc>
                <w:tcPr>
                  <w:tcW w:w="7395" w:type="dxa"/>
                  <w:tcBorders>
                    <w:top w:val="single" w:sz="6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5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платные услуги</w:t>
                  </w:r>
                </w:p>
              </w:tc>
              <w:tc>
                <w:tcPr>
                  <w:tcW w:w="907" w:type="dxa"/>
                  <w:tcBorders>
                    <w:top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91" w:hRule="atLeast"/>
              </w:trPr>
              <w:tc>
                <w:tcPr>
                  <w:tcW w:w="739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4115" w:type="dxa"/>
                  <w:gridSpan w:val="4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БЕЗВОЗМЕЗДНЫЕ ПОСТУПЛЕНИЯ</w:t>
                  </w:r>
                </w:p>
              </w:tc>
              <w:tc>
                <w:tcPr>
                  <w:tcW w:w="87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5222,4</w:t>
                  </w:r>
                </w:p>
              </w:tc>
              <w:tc>
                <w:tcPr>
                  <w:tcW w:w="78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5230,6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521" w:hRule="atLeast"/>
              </w:trPr>
              <w:tc>
                <w:tcPr>
                  <w:tcW w:w="7395" w:type="dxa"/>
                  <w:tcBorders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4115" w:type="dxa"/>
                  <w:gridSpan w:val="4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Субсидии на сбалансированность</w:t>
                  </w:r>
                </w:p>
              </w:tc>
              <w:tc>
                <w:tcPr>
                  <w:tcW w:w="877" w:type="dxa"/>
                  <w:tcBorders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3" w:hRule="atLeast"/>
              </w:trPr>
              <w:tc>
                <w:tcPr>
                  <w:tcW w:w="7395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5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907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581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000 2 02 01001 10 0000 151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Дотация на выравнивание уровня бюджетной обеспеченности</w:t>
                  </w:r>
                </w:p>
              </w:tc>
              <w:tc>
                <w:tcPr>
                  <w:tcW w:w="877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4916,0</w:t>
                  </w:r>
                </w:p>
              </w:tc>
              <w:tc>
                <w:tcPr>
                  <w:tcW w:w="783" w:type="dxa"/>
                  <w:tcBorders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4916,0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595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000 2024001410 0000 150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Межбюджетныетрансферты,передаваемые бюджетам сельских поселений из бюджетов муниципальных районов на оссуществление части полномочий по решению вопросов местного значения в соотвесмтвии с заключенными соглашениями</w:t>
                  </w:r>
                </w:p>
              </w:tc>
              <w:tc>
                <w:tcPr>
                  <w:tcW w:w="877" w:type="dxa"/>
                  <w:tcBorders>
                    <w:left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423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000 2 02 03015 10 0000 151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254,5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262,7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1757" w:hRule="atLeast"/>
              </w:trPr>
              <w:tc>
                <w:tcPr>
                  <w:tcW w:w="7527" w:type="dxa"/>
                  <w:gridSpan w:val="4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000 2 02 04999 10 0000 151</w:t>
                  </w:r>
                </w:p>
              </w:tc>
              <w:tc>
                <w:tcPr>
                  <w:tcW w:w="414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Субвенции бюджетам поселений на осуществление государственных полномочий Волгоградской области по созданию, исполнению функций, и организации деятельности административных комиссий</w:t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377" w:hRule="atLeast"/>
              </w:trPr>
              <w:tc>
                <w:tcPr>
                  <w:tcW w:w="7461" w:type="dxa"/>
                  <w:gridSpan w:val="2"/>
                  <w:tcBorders>
                    <w:top w:val="single" w:sz="6" w:space="0" w:color="000000"/>
                    <w:left w:val="single" w:sz="12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Итого доходов</w:t>
                  </w:r>
                </w:p>
              </w:tc>
              <w:tc>
                <w:tcPr>
                  <w:tcW w:w="8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31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19552,9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20587,5</w:t>
                  </w:r>
                </w:p>
              </w:tc>
              <w:tc>
                <w:tcPr>
                  <w:tcW w:w="83" w:type="dxa"/>
                  <w:tcBorders>
                    <w:left w:val="single" w:sz="12" w:space="0" w:color="000000"/>
                  </w:tcBorders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b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3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tbl>
                  <w:tblPr>
                    <w:tblW w:w="7350" w:type="dxa"/>
                    <w:jc w:val="left"/>
                    <w:tblInd w:w="0" w:type="dxa"/>
                    <w:tblCellMar>
                      <w:top w:w="0" w:type="dxa"/>
                      <w:left w:w="30" w:type="dxa"/>
                      <w:bottom w:w="0" w:type="dxa"/>
                      <w:right w:w="30" w:type="dxa"/>
                    </w:tblCellMar>
                  </w:tblPr>
                  <w:tblGrid>
                    <w:gridCol w:w="2818"/>
                    <w:gridCol w:w="741"/>
                    <w:gridCol w:w="1091"/>
                    <w:gridCol w:w="895"/>
                    <w:gridCol w:w="895"/>
                    <w:gridCol w:w="895"/>
                    <w:gridCol w:w="15"/>
                  </w:tblGrid>
                  <w:tr>
                    <w:trPr>
                      <w:trHeight w:val="1642" w:hRule="atLeast"/>
                    </w:trPr>
                    <w:tc>
                      <w:tcPr>
                        <w:tcW w:w="7335" w:type="dxa"/>
                        <w:gridSpan w:val="6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                                                           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Приложение  5</w:t>
                        </w:r>
                      </w:p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                                                                   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к решению сельской Думы </w:t>
                        </w:r>
                      </w:p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                                                              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№</w:t>
                        </w: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от                        г.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</w:r>
                      </w:p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Распределение бюджетных ассигнований по разделам и подразделам классификации расходов бюджета поселения на 2020 год и на плановый период 2021 и 2022 годов</w:t>
                        </w:r>
                      </w:p>
                    </w:tc>
                  </w:tr>
                  <w:tr>
                    <w:trPr>
                      <w:trHeight w:val="113" w:hRule="atLeast"/>
                    </w:trPr>
                    <w:tc>
                      <w:tcPr>
                        <w:tcW w:w="2818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/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Раздел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Подраздел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2020 год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2021 год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2022 год</w:t>
                        </w: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281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149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319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ИТОГО ДОХОДОВ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18523,30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19552,90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20587,50</w:t>
                        </w:r>
                      </w:p>
                    </w:tc>
                  </w:tr>
                  <w:tr>
                    <w:trPr>
                      <w:trHeight w:val="293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ИТОГО РАСХОДОВ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18 523,30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19 552,90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20 587,50   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ОБЩЕГОСУДАРСТВЕННЫЕ ВОПРОСЫ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3 340,00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3 433,00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3 433,00   </w:t>
                        </w:r>
                      </w:p>
                    </w:tc>
                  </w:tr>
                  <w:tr>
                    <w:trPr>
                      <w:trHeight w:val="509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Функционирование высшего должностного лица субъекта Российской Федерации и муниципального образования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840,00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875,00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875,00   </w:t>
                        </w:r>
                      </w:p>
                    </w:tc>
                  </w:tr>
                  <w:tr>
                    <w:trPr>
                      <w:trHeight w:val="44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Функционирование Правительства РФ, высших исполнительных органов государственной власти субъектов РФ, местных администраций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2 450,00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2 500,00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2 500,00   </w:t>
                        </w:r>
                      </w:p>
                    </w:tc>
                  </w:tr>
                  <w:tr>
                    <w:trPr>
                      <w:trHeight w:val="461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Обеспечение деятельности финансовых, налоговых, таможенных органов и органов финансового (финансово-бюджетного) надзора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06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18,00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18,00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18,00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Резервные фонды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32,00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40,00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40,00   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Другие общегосударственные  вопросы (выборы)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07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НАЦИОНАЛЬНАЯ ОБОРОНА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253,00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254,50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262,70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253,00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254,50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262,70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44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НАЦИОНАЛЬНАЯ БЕЗОПАСНОСТЬ И ПРАВООХРАНИТЕЛЬНАЯ ДЕЯТЕЛЬНОСТЬ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</w:tr>
                  <w:tr>
                    <w:trPr>
                      <w:trHeight w:val="39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Защита населения и территории от чрезвычайных ситуаций  природного и техногенного характера, гражданская оборона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09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Обеспечение пожарной безопасности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150,00   </w:t>
                        </w: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НАЦИОНАЛЬНАЯ ЭКОНОМИКА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4 295,00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4 946,50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5 704,50   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Дорожное хозяйство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09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1 142,00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1 440,50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2 066,90   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Другие вопросы в области национальной экономики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Ремонт исодержание дорог 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3 153,00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3 506,00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3 637,60   </w:t>
                        </w:r>
                      </w:p>
                    </w:tc>
                  </w:tr>
                  <w:tr>
                    <w:trPr>
                      <w:trHeight w:val="283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ЖИЛИЩНО-КОММУНАЛЬНОЕ ХОЗЯЙСТВО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6 775,00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7 338,90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7 607,30   </w:t>
                        </w:r>
                      </w:p>
                    </w:tc>
                  </w:tr>
                  <w:tr>
                    <w:trPr>
                      <w:trHeight w:val="20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Жилищное хозяйство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15,00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Коммунальное хозяйство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Благоустройство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6 760,00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7 323,90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FFFFFF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7 592,30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83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ОБРАЗОВАНИЕ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07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Молодежная политика и оздоровление детей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07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07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500,00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КУЛЬТУРА И КИНЕМАТОГРАФИЯ 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2 963,00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2 700,00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2 700,00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Культура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2 963,00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2 700,00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2 700,00   </w:t>
                        </w:r>
                      </w:p>
                    </w:tc>
                  </w:tr>
                  <w:tr>
                    <w:trPr>
                      <w:trHeight w:val="199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3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СОЦИАЛЬНАЯ ПОЛИТИКА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-     </w:t>
                        </w:r>
                      </w:p>
                    </w:tc>
                  </w:tr>
                  <w:tr>
                    <w:trPr>
                      <w:trHeight w:val="293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ФИЗИЧЕСКАЯ КУЛЬТУРА И СПОРТ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Физическая культура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Социальное обеспечение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Пенсионное обеспечение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17,30   </w:t>
                        </w:r>
                      </w:p>
                    </w:tc>
                  </w:tr>
                  <w:tr>
                    <w:trPr>
                      <w:trHeight w:val="199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СРЕДСТВА МАССОВОЙ ИНФОРМАЦИИ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b/>
                            <w:b/>
                            <w:bCs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cs="Arial" w:ascii="Arial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Периодическая печать и издательства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Arial"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</w:rPr>
                          <w:t xml:space="preserve">60,00  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2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center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fill="auto" w:val="clear"/>
                      </w:tcPr>
                      <w:p>
                        <w:pPr>
                          <w:pStyle w:val="Normal"/>
                          <w:autoSpaceDE w:val="false"/>
                          <w:snapToGrid w:val="false"/>
                          <w:jc w:val="righ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cs="Arial" w:ascii="Arial" w:hAnsi="Arial"/>
                            <w:color w:val="000000"/>
                            <w:sz w:val="20"/>
                            <w:szCs w:val="20"/>
                            <w:lang w:eastAsia="en-US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  <w:lang w:eastAsia="en-US"/>
                    </w:rPr>
                  </w:r>
                </w:p>
                <w:p>
                  <w:pPr>
                    <w:pStyle w:val="Normal"/>
                    <w:autoSpaceDE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7395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2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gridSpan w:val="3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29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60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0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951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77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7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83" w:type="dxa"/>
                  <w:tcBorders/>
                  <w:shd w:fill="auto" w:val="clear"/>
                </w:tcPr>
                <w:p>
                  <w:pPr>
                    <w:pStyle w:val="Normal"/>
                    <w:autoSpaceDE w:val="false"/>
                    <w:snapToGrid w:val="false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  <w:lang w:eastAsia="en-US"/>
                    </w:rPr>
                  </w:r>
                </w:p>
              </w:tc>
            </w:tr>
          </w:tbl>
          <w:p>
            <w:pPr>
              <w:pStyle w:val="Normal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cs="Arial" w:ascii="Arial" w:hAnsi="Arial"/>
                <w:sz w:val="20"/>
                <w:szCs w:val="20"/>
                <w:lang w:eastAsia="en-US"/>
              </w:rPr>
            </w:r>
          </w:p>
          <w:p>
            <w:pPr>
              <w:pStyle w:val="ConsNormal"/>
              <w:ind w:hanging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</w:r>
          </w:p>
        </w:tc>
        <w:tc>
          <w:tcPr>
            <w:tcW w:w="1188" w:type="dxa"/>
            <w:tcBorders/>
            <w:shd w:fill="auto" w:val="clear"/>
          </w:tcPr>
          <w:p>
            <w:pPr>
              <w:pStyle w:val="ConsNormal"/>
              <w:rPr/>
            </w:pPr>
            <w:r>
              <w:rPr>
                <w:rFonts w:eastAsia="Arial"/>
              </w:rPr>
              <w:t xml:space="preserve">                                      </w:t>
            </w:r>
            <w:r>
              <w:rPr/>
              <w:t>И.А. Штаймнец</w:t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  <w:p>
            <w:pPr>
              <w:pStyle w:val="ConsNormal"/>
              <w:rPr/>
            </w:pPr>
            <w:r>
              <w:rPr/>
            </w:r>
          </w:p>
        </w:tc>
      </w:tr>
    </w:tbl>
    <w:p>
      <w:pPr>
        <w:pStyle w:val="ConsNormal"/>
        <w:jc w:val="righ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418" w:right="1106" w:header="720" w:top="1077" w:footer="0" w:bottom="1079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imesET">
    <w:altName w:val="Times New Roman"/>
    <w:charset w:val="00"/>
    <w:family w:val="auto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6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6"/>
                            <w:rPr>
                              <w:rStyle w:val="Style7"/>
                            </w:rPr>
                          </w:pPr>
                          <w:r>
                            <w:rPr>
                              <w:rStyle w:val="Style7"/>
                            </w:rPr>
                            <w:fldChar w:fldCharType="begin"/>
                          </w:r>
                          <w:r>
                            <w:rPr>
                              <w:rStyle w:val="Style7"/>
                            </w:rPr>
                            <w:instrText> PAGE </w:instrText>
                          </w:r>
                          <w:r>
                            <w:rPr>
                              <w:rStyle w:val="Style7"/>
                            </w:rPr>
                            <w:fldChar w:fldCharType="separate"/>
                          </w:r>
                          <w:r>
                            <w:rPr>
                              <w:rStyle w:val="Style7"/>
                            </w:rPr>
                            <w:t>7</w:t>
                          </w:r>
                          <w:r>
                            <w:rPr>
                              <w:rStyle w:val="Style7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31.55pt;mso-position-horizontal:center;mso-position-horizontal-relative:margin">
              <v:fill opacity="0f"/>
              <v:textbox>
                <w:txbxContent>
                  <w:p>
                    <w:pPr>
                      <w:pStyle w:val="Style16"/>
                      <w:rPr>
                        <w:rStyle w:val="Style7"/>
                      </w:rPr>
                    </w:pPr>
                    <w:r>
                      <w:rPr>
                        <w:rStyle w:val="Style7"/>
                      </w:rPr>
                      <w:fldChar w:fldCharType="begin"/>
                    </w:r>
                    <w:r>
                      <w:rPr>
                        <w:rStyle w:val="Style7"/>
                      </w:rPr>
                      <w:instrText> PAGE </w:instrText>
                    </w:r>
                    <w:r>
                      <w:rPr>
                        <w:rStyle w:val="Style7"/>
                      </w:rPr>
                      <w:fldChar w:fldCharType="separate"/>
                    </w:r>
                    <w:r>
                      <w:rPr>
                        <w:rStyle w:val="Style7"/>
                      </w:rPr>
                      <w:t>7</w:t>
                    </w:r>
                    <w:r>
                      <w:rPr>
                        <w:rStyle w:val="Style7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6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TimesET;Times New Roman" w:hAnsi="TimesET;Times New Roman" w:cs="TimesET;Times New Roman"/>
      <w:b/>
      <w:sz w:val="28"/>
      <w:szCs w:val="20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rFonts w:ascii="TimesET;Times New Roman" w:hAnsi="TimesET;Times New Roman" w:cs="TimesET;Times New Roman"/>
      <w:b/>
      <w:sz w:val="30"/>
      <w:szCs w:val="20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outlineLvl w:val="3"/>
    </w:pPr>
    <w:rPr>
      <w:rFonts w:ascii="TimesET;Times New Roman" w:hAnsi="TimesET;Times New Roman" w:cs="TimesET;Times New Roman"/>
      <w:b/>
      <w:szCs w:val="20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jc w:val="both"/>
      <w:outlineLvl w:val="5"/>
    </w:pPr>
    <w:rPr>
      <w:rFonts w:ascii="TimesET;Times New Roman" w:hAnsi="TimesET;Times New Roman" w:cs="TimesET;Times New Roman"/>
      <w:b/>
      <w:szCs w:val="20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TimesET;Times New Roman" w:hAnsi="TimesET;Times New Roman" w:cs="TimesET;Times New Roman"/>
      <w:b/>
      <w:sz w:val="30"/>
      <w:szCs w:val="20"/>
    </w:rPr>
  </w:style>
  <w:style w:type="paragraph" w:styleId="9">
    <w:name w:val="Heading 9"/>
    <w:basedOn w:val="Normal"/>
    <w:next w:val="Normal"/>
    <w:qFormat/>
    <w:pPr>
      <w:keepNext w:val="true"/>
      <w:numPr>
        <w:ilvl w:val="8"/>
        <w:numId w:val="1"/>
      </w:numPr>
      <w:ind w:firstLine="720"/>
      <w:jc w:val="center"/>
      <w:outlineLvl w:val="8"/>
    </w:pPr>
    <w:rPr>
      <w:b/>
      <w:sz w:val="28"/>
      <w:szCs w:val="20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6">
    <w:name w:val="Основной шрифт абзаца"/>
    <w:qFormat/>
    <w:rPr/>
  </w:style>
  <w:style w:type="character" w:styleId="Style7">
    <w:name w:val="Номер страницы"/>
    <w:basedOn w:val="Style6"/>
    <w:rPr/>
  </w:style>
  <w:style w:type="character" w:styleId="Style8">
    <w:name w:val="Знак примечания"/>
    <w:qFormat/>
    <w:rPr>
      <w:sz w:val="16"/>
      <w:szCs w:val="16"/>
    </w:rPr>
  </w:style>
  <w:style w:type="character" w:styleId="Style9">
    <w:name w:val="Основной текст Знак"/>
    <w:qFormat/>
    <w:rPr>
      <w:sz w:val="28"/>
      <w:szCs w:val="24"/>
    </w:rPr>
  </w:style>
  <w:style w:type="paragraph" w:styleId="Style10">
    <w:name w:val="Заголовок"/>
    <w:basedOn w:val="Normal"/>
    <w:next w:val="Style11"/>
    <w:qFormat/>
    <w:pPr>
      <w:ind w:left="3969" w:hanging="0"/>
      <w:jc w:val="center"/>
    </w:pPr>
    <w:rPr>
      <w:sz w:val="28"/>
      <w:szCs w:val="20"/>
    </w:rPr>
  </w:style>
  <w:style w:type="paragraph" w:styleId="Style11">
    <w:name w:val="Body Text"/>
    <w:basedOn w:val="Normal"/>
    <w:pPr>
      <w:jc w:val="both"/>
    </w:pPr>
    <w:rPr>
      <w:sz w:val="28"/>
      <w:lang w:val="ru-RU"/>
    </w:rPr>
  </w:style>
  <w:style w:type="paragraph" w:styleId="Style12">
    <w:name w:val="List"/>
    <w:basedOn w:val="Style11"/>
    <w:pPr/>
    <w:rPr>
      <w:rFonts w:cs="Lucida Sans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ucida Sans"/>
    </w:rPr>
  </w:style>
  <w:style w:type="paragraph" w:styleId="21">
    <w:name w:val="Основной текст 2"/>
    <w:basedOn w:val="Normal"/>
    <w:qFormat/>
    <w:pPr/>
    <w:rPr>
      <w:sz w:val="28"/>
    </w:rPr>
  </w:style>
  <w:style w:type="paragraph" w:styleId="31">
    <w:name w:val="Основной текст 3"/>
    <w:basedOn w:val="Normal"/>
    <w:qFormat/>
    <w:pPr>
      <w:jc w:val="both"/>
    </w:pPr>
    <w:rPr>
      <w:color w:val="CC99FF"/>
      <w:sz w:val="28"/>
    </w:rPr>
  </w:style>
  <w:style w:type="paragraph" w:styleId="Style15">
    <w:name w:val="Body Text Indent"/>
    <w:basedOn w:val="Normal"/>
    <w:pPr>
      <w:ind w:firstLine="720"/>
      <w:jc w:val="both"/>
    </w:pPr>
    <w:rPr>
      <w:sz w:val="28"/>
      <w:szCs w:val="20"/>
    </w:rPr>
  </w:style>
  <w:style w:type="paragraph" w:styleId="22">
    <w:name w:val="Основной текст с отступом 2"/>
    <w:basedOn w:val="Normal"/>
    <w:qFormat/>
    <w:pPr>
      <w:ind w:firstLine="708"/>
      <w:jc w:val="both"/>
    </w:pPr>
    <w:rPr>
      <w:color w:val="CC99FF"/>
      <w:sz w:val="28"/>
    </w:rPr>
  </w:style>
  <w:style w:type="paragraph" w:styleId="32">
    <w:name w:val="Основной текст с отступом 3"/>
    <w:basedOn w:val="Normal"/>
    <w:qFormat/>
    <w:pPr>
      <w:ind w:firstLine="708"/>
      <w:jc w:val="both"/>
    </w:pPr>
    <w:rPr>
      <w:sz w:val="28"/>
    </w:rPr>
  </w:style>
  <w:style w:type="paragraph" w:styleId="Style16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18">
    <w:name w:val="Footer"/>
    <w:basedOn w:val="Normal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ConsNormal">
    <w:name w:val="ConsNormal"/>
    <w:qFormat/>
    <w:pPr>
      <w:widowControl/>
      <w:autoSpaceDE w:val="false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ConsNonformat">
    <w:name w:val="ConsNonformat"/>
    <w:qFormat/>
    <w:pPr>
      <w:widowControl/>
      <w:autoSpaceDE w:val="false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19">
    <w:name w:val="Текст примечания"/>
    <w:basedOn w:val="Normal"/>
    <w:qFormat/>
    <w:pPr/>
    <w:rPr>
      <w:sz w:val="20"/>
      <w:szCs w:val="20"/>
    </w:rPr>
  </w:style>
  <w:style w:type="paragraph" w:styleId="Style20">
    <w:name w:val="Тема примечания"/>
    <w:basedOn w:val="Style19"/>
    <w:next w:val="Style19"/>
    <w:qFormat/>
    <w:pPr/>
    <w:rPr>
      <w:b/>
      <w:bCs/>
    </w:rPr>
  </w:style>
  <w:style w:type="paragraph" w:styleId="ConsPlusNormal">
    <w:name w:val="ConsPlusNormal"/>
    <w:qFormat/>
    <w:pPr>
      <w:widowControl/>
      <w:autoSpaceDE w:val="false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ConsPlusNonformat">
    <w:name w:val="ConsPlusNonformat"/>
    <w:qFormat/>
    <w:pPr>
      <w:widowControl w:val="false"/>
      <w:autoSpaceDE w:val="false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1">
    <w:name w:val="Subtitle"/>
    <w:basedOn w:val="Normal"/>
    <w:next w:val="Style11"/>
    <w:qFormat/>
    <w:pPr>
      <w:jc w:val="center"/>
    </w:pPr>
    <w:rPr>
      <w:sz w:val="32"/>
      <w:szCs w:val="20"/>
    </w:rPr>
  </w:style>
  <w:style w:type="paragraph" w:styleId="Style22">
    <w:name w:val="Схема документа"/>
    <w:basedOn w:val="Normal"/>
    <w:qFormat/>
    <w:pPr>
      <w:shd w:fill="000080" w:val="clear"/>
    </w:pPr>
    <w:rPr>
      <w:rFonts w:ascii="Tahoma" w:hAnsi="Tahoma" w:cs="Tahoma"/>
      <w:sz w:val="20"/>
      <w:szCs w:val="20"/>
    </w:rPr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Содержимое врезки"/>
    <w:basedOn w:val="Normal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1027</TotalTime>
  <Application>LibreOffice/6.2.8.2$Linux_X86_64 LibreOffice_project/20$Build-2</Application>
  <Pages>7</Pages>
  <Words>1770</Words>
  <Characters>10961</Characters>
  <CharactersWithSpaces>15299</CharactersWithSpaces>
  <Paragraphs>422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2009-11-18T12:35:00Z</dcterms:created>
  <dc:creator>RLN</dc:creator>
  <dc:description/>
  <cp:keywords/>
  <dc:language>ru-RU</dc:language>
  <cp:lastModifiedBy>Юзер</cp:lastModifiedBy>
  <cp:lastPrinted>2019-11-20T10:47:00Z</cp:lastPrinted>
  <dcterms:modified xsi:type="dcterms:W3CDTF">2020-01-10T14:59:00Z</dcterms:modified>
  <cp:revision>133</cp:revision>
  <dc:subject/>
  <dc:title> </dc:title>
</cp:coreProperties>
</file>